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CB84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Режиссура </w:t>
      </w:r>
      <w:proofErr w:type="spellStart"/>
      <w:r w:rsidRPr="00030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030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ойыны</w:t>
      </w:r>
      <w:proofErr w:type="spellEnd"/>
    </w:p>
    <w:p w14:paraId="5A4B6570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қиялымыздан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сиқырлы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қиналып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қамау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алынатын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құлашын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рахатана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шабатын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режиссура – катализатор. Актер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табыстырушы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сәйкес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іс-қимылымен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лайықты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мейілінше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қамқорлықпен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зерделей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әріптестері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мұраттастары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кейіпкерлерінің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араларындағы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айырмашылық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бірлесе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келтірер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арпалыс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майданы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себебі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нысанасын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тауып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психофизикасын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кейіпкержандылыққа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оңай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көрінгенімен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төгуді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азапты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Кілтін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таптым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есікті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ашытым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кірдім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заңдылықтың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үйлесе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бермейтіні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құлыптың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кілтін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өзіміздің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жасауымызға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-дара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кілті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автор да, актер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жеке-жеке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құлыптаулы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сыр-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97F5567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сомдаудағы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К.С.Станиславский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қайраткерлері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қалдырды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сүйеніп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шәкірттерге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дәріс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Әрекетке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көшу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 </w:t>
      </w:r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«Режиссер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асырудағы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жағдайдың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өзара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байланысы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»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бөлімінде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дайындалсада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внутренная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логика)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шектеліп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дәлелдер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тізбегін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ұғымынан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ауқымды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суреткерлік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сатыға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көтерілуге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тиісті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ерекшеленетіндіктен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Актер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әншілер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тек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қалыптастырушы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біліктілік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талпыныс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тәжірибе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авторы.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тапқандарыңды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таразысынан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44FC107B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түсінігімде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нағыз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керектігін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істегенін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айна-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қатесіз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қайталауды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етпейді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сезіндіре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Оны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қурышақ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тұрғысынан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диктат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әмірінен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жапа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шеккенін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жүрседе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айдауына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көніп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істегенді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ұнатады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айтатындай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көрмесекте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тамаша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қолтаңбаны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әбден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жұрт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жаппай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мақтап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Сонда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талаптарын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марионетки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толтыра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аңғару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тебіреніске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толтыра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ұстайтын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бұйымды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реквизитті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),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жиһазды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шәкірттер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процессі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арнайы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этюдтар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құрастырады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дегенімізбен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сүйектен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жаралған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қуанышы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ұмытпағанымыз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5112424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жүріс-тұрысы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сәттері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ұшырайды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Алдымызда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сырт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пішіні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ұқсас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Константин Сергеевич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бас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Бейжін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операсының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Мей Лань-фан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әйелдердің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қайталанбас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әйелдерді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Мей Лань-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биіктікке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Әрине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қыруар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Пайымдай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бағындырмас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болмайтындығының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Ас.Сүлейменовтің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Дарын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жыныс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талғамайды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Мұрат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Нұрәсілов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Баянды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қатырып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ойнай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әзілдеп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алдыңғы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сөйлемінде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шыныдық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пе!</w:t>
      </w:r>
    </w:p>
    <w:p w14:paraId="4DA42A4E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өзара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қалыптастыруында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кино,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телевидениеге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араласуының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салдары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Кинокамераның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жыбырлатқаны-ақ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реттейді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Техникалық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жетістіктер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кинорежиссердің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әмірінен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бұйрықтарды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шықпаса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«су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тамызу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пияз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нәтижеге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айырылып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Экрандағы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жауапгершілігі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режиссер, оператор,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монтажердің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мойнында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өлшеммен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балкондағы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бояулармен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күлкісі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шеберліктен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техника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көмектесе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дәрежесінде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жете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меңгермеген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саусақсыз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күйшімен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Бейжін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операсының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Кабуки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меңгермеген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ғой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DF7D924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аяқ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қоярлық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сурыпсалмалық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(импровизация)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қабілетін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дамытуға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еркіндікке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тәрбиелеуге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тырысқаны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Оны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еркіндігін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өрістеуіне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процесстерінен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мысалдар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келтіріп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сұхбаттасып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бағытта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байытуға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нәтижеге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тапқырлық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тұтастығына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тигізбегені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эстетикалық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өлшемдерден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шықпағаны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талғампаздығына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жанрларының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тақырыптарының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формаларының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сан-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алуандығына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әрқашанда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әсемдіктің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ордасы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жастарымыз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әр-нәрсеге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эротикалық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анайы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Егер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Кезкелген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лайық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сұлулықпен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толығымен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көрсетпей-ақ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баламаларын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тауып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көрсеткеннің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әлдеқайда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851F5A6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теориясы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европалық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азиялық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бейхабармыз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десек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батыстық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мамандардың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жапон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үйренгені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баршылық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Сөзіміздің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растығына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В.Мейерхольдтің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А.Таировтың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Б.Брехттің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П.Бруктың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көзқарастары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фәлсафасы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поэзиясын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зерттеген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Брехт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пьесаларына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Ли Сын-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таодың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Кавказдық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шеңбері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аңыз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әңгіме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Мейірімді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Сычуаньдық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аяқталмай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Конфуцидің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халықтарының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әдеби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шығармаларын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елдердің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үлгілерін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–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тоқтала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кеткеніміз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Үйткені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қайсысынан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ертеден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байқаймыз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талаптардың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жоймағанын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B49A44B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ХҮІІІ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ғасырда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Хуан Фань-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чоның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Сәулелі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рухтың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(«Мин синь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цзянь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»-«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Сәулелі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көлемді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еңбегінде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Бейжін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операсындағы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жолдары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Сәулесіз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айнадан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көретіні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тек сырт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пішіні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Рухың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шырайланбай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өмірдің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қалтарыстарынан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адаспай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Даоға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proofErr w:type="gram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фәлсафалық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ұғымда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мәңгілік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жолы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ал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бізше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қайырсақ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жолы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)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жету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proofErr w:type="gram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Жүрек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»(</w:t>
      </w:r>
      <w:proofErr w:type="spellStart"/>
      <w:proofErr w:type="gram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ұғымда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 актер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шеберлігінің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бес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сипаты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арияларды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орындауда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сөзде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дауыс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ырғағында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жағдайында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денені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ұстау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іс-қимылда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...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Жолды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жүрек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аяқтайды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барлығы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айнадан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басталып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айнамен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бітеді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әңгіме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тек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еліктеуден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proofErr w:type="gram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қарағандай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еліктеумен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Даоға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жолдаманы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Үйткені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сезімдеріміздің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ордасы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арақатынастарымыздың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жұмылдырады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Бес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сәулелі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жүрек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қортынды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ақылмен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өңдеп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Айнадан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көргеніміздің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бәрі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құр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кескін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тек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жан-дүниесіндегі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құбылыс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болмақ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Ол - рух.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Затпен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етене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араласпай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оны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сезіну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нәрсенің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қайталанбас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құпиясы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Жанымызды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сәулелендіру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ұлы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кеңістіктің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құпиясына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кіруімізге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». 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Рухыңды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қолданбайынша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шырайлануға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жеткізе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алмайсың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Жүрегіңді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өзгеден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тазартып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тек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шеберлікті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үйренуге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арна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!»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Сиқырлы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айна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тәрізді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бергенімен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гөрі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шарттылықта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көргендегідей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«Айна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әлемнің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шағын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көшірмесі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сәулелі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Сан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ғасырлық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Хуан Фань-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чо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төмендегідей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тоқтамдарға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</w:t>
      </w:r>
    </w:p>
    <w:p w14:paraId="7330938E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он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түрлі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ақауы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1)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бүгілген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тізе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2)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асығып-аптығып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түсініксіз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сөйлеу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3)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иероглифты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қате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4)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үнді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қате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айту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5)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сөзді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салдыр-салақ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айта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салу, 6)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мойынды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сірестіріп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7)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иықты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қушитып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8)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белді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қоқитып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қатты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ұстау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9)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адымдап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тайраңдап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жүру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әдепсіздік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кібіртіктеп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жүру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сенімсіздік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), 10)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беттің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жансыздануы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;</w:t>
      </w:r>
    </w:p>
    <w:p w14:paraId="2999A546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бен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қағидасын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1)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еріндік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тістік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тамақтық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өңештік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тілдік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мұрындық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бөлінетін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тұстарын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игеру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2)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тексті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ырғақты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мәндерге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бөлу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3)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сөздің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мәні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4)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классикалық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шығармалардан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мысалдар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5) бес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дыбыстық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үнді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6) Цзянь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туань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бұлар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бір-бірінен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айырмасы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аз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дыбыстар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дыбыстарын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шатастырмау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;</w:t>
      </w:r>
    </w:p>
    <w:p w14:paraId="06663D7C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кейіптің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сегіз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түрі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атақты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бай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кедейдің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қара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ниетті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ақымақтың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есуастың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ауырудың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мастың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жүріс-тұрысын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суреттейді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қуаныш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қорқыныштың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сырт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қимылдарын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(жесты)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Әрқайсысына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жеке-жеке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тоқталып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Станиславскидің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айтқандарымен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па?!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шыңдаудың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күнді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бос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өткізбеу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қиыннан-оңайға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күрделіден-қарапайымдылыққа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ұран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тастайды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Патшаның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құпиялары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салт-дәстүрлер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табады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Дәстүр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жан-дүниеміздің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сыртқы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безендірілуі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Борышымыздың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әсемдігі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ертедегі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ойшылы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Хань Фэй-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цзы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театрдыңда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мәңгілік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Хуан Фань-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чо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біріншіден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кеңістігіндегі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мінбер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(трибуна)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қортынды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B51635D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Дзэами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Мотокиёнің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gram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1363-1443</w:t>
      </w:r>
      <w:proofErr w:type="gram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Но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Стильдік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гүл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аңызын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фуси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кадэн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қарасаңыз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қалыптасқанын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жолымызды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таңдауды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ниет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еткен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жолға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түспеуі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керек... Актер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жаратылыстың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әсем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гүл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ашқан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шағындағыдай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сиқырлы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сұлулыққа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саф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тазалыққа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толы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жасауы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керек». 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Шебер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олақ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үлгі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олақ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шебер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үлгі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». 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Гүл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жүрек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дән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үлгі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(форма).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Дән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жадымыздың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символы,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шеберліктің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қоймасы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Дән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шеберлік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те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өлі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аруақпен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қураған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шөппен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тең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дегеніміз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тең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Гүл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мазмұн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Гүл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көрінгенімен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бағаланады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«...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талғамына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сай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көрікті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гүлге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ұқсап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ашылмауы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жиырма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төрт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трактатқа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рухының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сәулелі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айнасына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гүлге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теңеуінің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классикалық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айғақтайтын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гримдері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қызықтыратыны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арияны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желпушін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бас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киіміндегі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дірілдетер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?»,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Сайыстар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саусақтарын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қызығушылқпен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күткен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ризашылық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қағысып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табынып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C5DABCC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Дени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Дидроның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парадокс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оғаш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трактатындағы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Сезімтал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болу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бөлек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сезіну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бөлек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Біріншісі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екіншісі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ақылдың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еншісінде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аударсақ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кез-келген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соңғысынан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айналудағы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болу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түсіндіруге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тырыспауың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керек»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трактат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итальян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Риккобони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Антонио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Франческода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gram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1707-1772</w:t>
      </w:r>
      <w:proofErr w:type="gram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саласына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кескін-келбетін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50946FC0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Бертольт Брехт 1935-жылы Мэй Лань-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фаннің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Москва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қаласындағы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гастрольдік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сапарындағы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эпикалық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үлгілерін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Хуан Фань-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чоның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мінберге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балағанындай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Брехтте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эпикалық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келеңсіздіктерді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әлеуметтік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тұрғыдан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ағартушылық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бақылау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түйіндеуі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таразысына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зерделеп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үгіттейді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Гегель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болу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таныс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затты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көргенімізді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бейтаныс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нәрседей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көрсетуіміз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керек»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Брехт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«эффект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очуждения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(«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бақылап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теориясын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түсіну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 –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түсінбеу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түсіну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формуласы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</w:t>
      </w:r>
    </w:p>
    <w:p w14:paraId="698FECE4" w14:textId="77777777" w:rsidR="00812002" w:rsidRPr="0003086C" w:rsidRDefault="00812002" w:rsidP="000308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бастабында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бізге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таныс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түсінкті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көрінеді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(тезис),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бізге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беймәлім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қырынан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қарағанымызда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мүлдем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таныс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түсініксіз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көрінеді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(антитезис),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зерделегеннен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қайтадан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бізге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дәрежеде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таныс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болмысымен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түсінкті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(синтез).</w:t>
      </w:r>
    </w:p>
    <w:p w14:paraId="517FE65B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құбылыстан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өзгелер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бермейтінді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қабілеті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ғалым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актер, режиссер,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үзіліп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көргенімізбен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тартылыс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тек Ньютон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Ән-күйді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тыңдап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жүргенімізбен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нотаны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-Фараби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бабамыз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Өйткені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ұғыммен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айналысатын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Брехт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эпикалық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салыстырмалы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ұғынықты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</w:t>
      </w:r>
    </w:p>
    <w:p w14:paraId="32B510BE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Драмалық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театрдың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үлгісі</w:t>
      </w:r>
      <w:proofErr w:type="spellEnd"/>
    </w:p>
    <w:p w14:paraId="67502123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оқиғаны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қалпында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әрекетке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шақырады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Белсенділігін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бәсеңсітіп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сезіміне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8142CEF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оқиғаға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ортақтастырып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кешуге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оқиғаның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немен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бітеріне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қызығушылығын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арттырып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сезіміне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салады.</w:t>
      </w:r>
    </w:p>
    <w:p w14:paraId="090C91E9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Эпикалық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театрдың</w:t>
      </w:r>
      <w:proofErr w:type="spellEnd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үлгісі</w:t>
      </w:r>
      <w:proofErr w:type="spellEnd"/>
    </w:p>
    <w:p w14:paraId="42465D41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әңгімелейді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сырттай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бақылаушы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еткенімен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,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белсенділігін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арттырып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,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қабылдауға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мәжбүр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оқиғаға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қарсы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қояды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оқиғаның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өтетіне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қызығушылығын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тудырады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07456A4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ойына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салады.</w:t>
      </w:r>
    </w:p>
    <w:p w14:paraId="2A2C84C1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«мен,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жағыдайда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етемін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заңдылығымен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жағыдайда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заңдылығымен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төреші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байламға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достарыңа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жүріс-тұрысын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сойлеу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таңдануы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тұнжырауын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тұздықтап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бояуын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қалыңдатып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қылығына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күле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түсіністік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көрсеткеніңдей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Брехттің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Мейерхольдпен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байқау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монологтарын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баяндау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пантомимикалық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эпизодтарды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көзқарастарын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Ревизорды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«33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естен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тану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(33 обморок)»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атауы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Залға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...»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ремаркаларды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түсірсек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жеткіліті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білдіруімен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жағдайда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8EDBC47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қарастырған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үлгілерінде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қағиданың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талабына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сай сан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ұшырап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немқұрайлықтан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құтқарып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ояту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тілге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суреткерлік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тұлғалығы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эстетикасы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талабына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ұшыраған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құндылықты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тұлға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– актер.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белсенділікпен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тиісті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Үйткені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бейнесіндегі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тақырыбы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қақтығыстарын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қолдайтынын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пікірлерінде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қабілетке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тәртіпке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келтіріп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тәрбиелеп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жарқыратып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35CB34E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өзекті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сыртқы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мінез-құлықтарына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бөлетінімізді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Бұрындары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сырт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пішініне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портреттік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гримдеріне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қаз-қалпында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мәселеле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қазіргі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гримдерді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көрмейміз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ішкі-сыртқы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пластикасының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ішкі-сыртқы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екпін-ырғағымен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С.Оразбаевтің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Абдолласы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Ф.Шәріпованың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Ақлимасы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З.Шәріпованың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Сәлимасы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Ш.Жандарбекова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С.Қожақованың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Бүбіханы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»),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Н.Мышбаеваның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Гүлбарамы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Б.Тұрыстың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Қырманбайы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Ж.Махановтың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Жарболы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(«Бес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бойдаққа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той»),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Д.Темірсұлтанованың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Зәуреші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Ғашықсыз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ғасыр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»),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Ғ.Әбдінәбиеваның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Саудагер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әйелі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Тойдан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»),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С.Мерекеұлының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Скопы («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Жетінші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палата»)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ерекшеліктерін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басы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етпей-ақ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баурап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6578410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іздеуде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тәсілдерге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сүйейді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сыртқы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кейпіне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назар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Біртіндеп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жанр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ерекшелігіне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жақындай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бағыт-бағдар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жетелей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асығыстық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созып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жаттандылыққа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үйретіп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көрегендік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біркелкі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беру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(штамп)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біртіндеп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сатысынан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алшақтап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сенгеніңмен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селт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еткізер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жетегінде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далада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ағыл-тегіл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жыладым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үміт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күттірген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технар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стажы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ұсталығы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артистердің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қосылады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». Соны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өзгертуден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жүрексінетіні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ойнағанынан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гөрі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болашақтағы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көрінбеген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ерекшеліктерін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пайдалана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ұйықтап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оятуында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ой-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еліктіре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сәттерде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өшіп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ұшқыннан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болжай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567233A7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«мен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кейіпкерімнің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көрсеткім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ойнайтын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ниетін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керектігін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беймәлім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пайдалана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бояуы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мінез-құлықтардың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нұсқасын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Ізденудің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құрғақ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сөзбен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теориямен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«ми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палау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аз,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 xml:space="preserve">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Адам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мақсатпен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істелетінін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атқарылуының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арнайы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бөлмейді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6345F56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Қас-қағым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салысымен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кіріседі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оны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керағар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кедергілерге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душар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Студенттік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күнімізде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қабасақалы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досымызға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«Сен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ұйықтағаныңда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сақалыңды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одеялдың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жатасың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үстіне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жатасың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ба?»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әдейі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Білмеймін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аудармаппын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«Соны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қалжыңдадық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Ертесінде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досымыз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едіңдер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ілмей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шықтым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Сақалымды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одеялдың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салсам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бастырылып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үстіне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салсам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шошаңдап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ыңғайсызданам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екі-үш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мазасы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ұйқысы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бұзылғаннан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мақтанышына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сақалын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тастап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тоңатынды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ұйқысыздық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Әйтеуір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өткеннен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ұйқысы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тынышталды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ұйықтау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ұйықтаудың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аудармаған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кедергілерге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ұрынды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қарастырғаны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Сол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ойлануы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Қисынсызды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әдетке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айналдыруымыз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көмектессе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арнасының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бақылаушы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Айна.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дұрыс-бұрыстығын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қарағанда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арманы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өкіну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ғашықтық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қызғаныш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еткен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шатастырып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сезімдерімзді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көрсетпеуге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жасыруға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тырысқанымызбен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еркімізге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көнбей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сыр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қалады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қағидасын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ұмытпағанымыз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абзал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үнсіздік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жетегінде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кетпей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жалғастыруға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эмоцияңды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көрсетпе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Иә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шындығында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тудырмайды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дірілдеп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бүрісе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қорқынышты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қабағын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түйіп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жұдырығын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сілтеп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айғайға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жыламсыраса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аянышты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езуін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құлағына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ыржиса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қуанышты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болу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процессін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зерделегеніміз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ағымын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пайымдағанымыз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иірімдерін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анықтағанымыз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тобының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жанын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lastRenderedPageBreak/>
        <w:t>зерттеуге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табылғандарды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сіңіруге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асықпаған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пішінін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легіндегі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танығанымызбен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таппай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ат-үсті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асығыстық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қарағанда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түсінгенге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ұқсайды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арыға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еш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таппай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көрмегендіктен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аспайды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еш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өсу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даму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үсітінде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түбегейлі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зерттеп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сіңіріп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ұрынатыны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сөзсіз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бағдаршамы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рас.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психофизикалық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себебін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анықтаудан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танып-білу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тәжірибесіне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көкірегіне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ұялатып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тоқығандарына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түйгендерін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білгенімізбен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салмаған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қалауын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па?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төңірегінде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ойлануымыз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</w:t>
      </w:r>
    </w:p>
    <w:p w14:paraId="523A65FF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нәтижесіне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төзімділіктің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шаршаған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еркіне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ермей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үнемі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қарама-қайшылыққа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толы.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таразысы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идеалына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керексіз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анайы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әбден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ұрпақ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өзекті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мәселелеріне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тұрғыдан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зерттеп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рухани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әсіресе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актрисалардың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гөрі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көрінемін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деуді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ойлайтындары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әдемі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киінуге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көбірек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ауыстыруға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сұлу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салады.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роль»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актриса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сомдаған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Актрисаның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сұлулығы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қас-қағым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сәтте-ақ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бағаланады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екі-үш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орнына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түр-тұлғасына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алмайды-ғой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еш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кетіру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?!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орайда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сахнасына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жеке-жеке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қоюдың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зор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актрисалардың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жасағандары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десеңізші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«Ана-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спектакліндегі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жігіттерді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майданға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аттандырып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Жамал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апайдың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Қазақстанның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сіңірген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актрисасы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Жалмұхамбетова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баласынан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адасып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шырылдап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жүретін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құйқа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тамырын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шымырлатып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соғыстың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қасіретін-қорқынышын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мәжбүр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Мөлдір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махаббат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көтерілісшілерді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жазалайтын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Тұрахан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Сыдықованың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соқыр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кемпірін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қарасаңыз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қатігездігін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сезінуіңізге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Апат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қойлымында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әскери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сынақ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противогаз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солдаттардың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қараңғы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күштеп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Бекжан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Тұрыстың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қаракөзілдірік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білмей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«А? Не?»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әскери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сынақтың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құрбандары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жандандыра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Жарылыс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түтінінен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дым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көрінбейтін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қаракөзілдірілік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gram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па?!.</w:t>
      </w:r>
      <w:proofErr w:type="gram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көбейту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амалсыздан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ұялып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беттерін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артылады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ұшан-теңіз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атмосферасын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қалыптастырумен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өмірдегідей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типтік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толы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тобыр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мылқау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толқын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мәндерге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бек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Тойдан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қазақтарда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тек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пантомимикалық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іс-қимлыдары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үнсіз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етуімен-ақ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саясаттың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сатысында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тағдырлары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ұжымдық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кезегінде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қалыптастырады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кезеңдерді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шешуді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топырлатпай-ақ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бірнеше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өкілін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шу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мүмкіндіктер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өкілдердің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сырытындағы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жан-дүниелерінің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екпін-ырғағын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Былайша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567B5F0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өрістеуі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іздестіру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тұтастай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біртіндеп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жеке-жеке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бар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Шәкірттермен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сабақ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арандату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(провокация)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қорғаушысы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(адвокаты)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тәрбиелегендей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Баянды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ойнайтын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актрисаға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Меніңше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Баян - ми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еріккен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ақылды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батырлығы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жомартығы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Баян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құрбандыққа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Қодарды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сүйер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?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Қодар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Қарабайдың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жылқысын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тоқсан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бетпақтың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шөлінен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аман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Баян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берсең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актриса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нендей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Өзгелері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дер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себепші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Жауабын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тапқанша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маза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қателесіп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ой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шырмауынан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іздескені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Кей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түсіндіргеніңнен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ұқпай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көрсеткеніңді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кейбірінің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көрсеткеннен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гөрі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айтқаныңды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бетінше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асырғанды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көретіні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тиіс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теңеу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қателесу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күдіктену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үміттену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бетінше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тәжірибесі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мәдениеттілік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толыққанды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өрісіне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(интеллект)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тұрғыдан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көмектесуге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терезесі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сұхбаттасып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бірін-бірі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толықтыруына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ұқсас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6BB8AE9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алмағанымен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беймәлім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мүмкіндігін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бек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тәсілдерден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бас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іздестіруге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үміттенуге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Білікті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ешқашан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бөгде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ынтасымен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істеуіне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кедергі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еститін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сорлы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көрінгісі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келмейтін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кезеңдерінде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қалыптасқанға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кіргізбеген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кезеңдеріне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шақта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бітіруі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премьера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жақындаған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актер да,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толқыныстарын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өзгелердің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Кемшіліктері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жетістіктерін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сынағысы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еңбектерінің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жемісін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асығады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Егер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қызығуын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ертең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қызықтырары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сөзсіз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айтқысы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жаттанды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тәсілдерден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арылуға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егжей-тегжейлі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түсіндіріудің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шамалы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тісі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шайнап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бергенмен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іс-әрекеттерден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үлкен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нағыз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актер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Қытай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театрларындағыдай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классикалық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пьесаларымызды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айтылмаған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жорамалды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асығады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3CCD480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Питер Брук: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Қойылымдағы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нәрсе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(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затқа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қарым-қатынасы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(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затпен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) –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режиссермен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lastRenderedPageBreak/>
        <w:t>қарым-қатынасы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».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жердегі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декорация, реквизит, бутафория,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Станиславскиді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зерттеген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ағылшындық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Брук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мынадай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Егер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де...»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сөзі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күнделікті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өмірімізде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жалтарып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кету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сылтау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театр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егер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де мен...»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шындық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Осы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шындыққа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сендіре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білгеніміз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де театр мен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тұтастыққа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жетеді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Биік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дегеніміз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осы.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азапты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еңбек</w:t>
      </w:r>
      <w:proofErr w:type="spellEnd"/>
      <w:r w:rsidRPr="0003086C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!».</w:t>
      </w: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ойлардан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ізденсек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мақсатқа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-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өнеріңмен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ой-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ояту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Немқұрайдылық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қалпынан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Тазаруға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шақыру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еншісіне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байлығы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ермек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адырнадай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тартылған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нерв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Жүйке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жалпылама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шығармауымыз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</w:t>
      </w:r>
    </w:p>
    <w:p w14:paraId="540113C2" w14:textId="77777777" w:rsidR="00812002" w:rsidRPr="0003086C" w:rsidRDefault="00812002" w:rsidP="000308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Актер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мұраттарының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бірегейі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айналдыру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салу.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қабілетіне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үміт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кейіпкерге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лайық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бітірмек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?! Ал, актер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кезегінде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көрегендік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артқан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сенімін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ақтауға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тырысады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ұғымның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даусыз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Пікірталасты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дауласу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шұлғып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келісу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ұғатын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әріптестеріміз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Пікірталас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шындықты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үйткені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әркімнің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шындығы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бар)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бірлесе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ақылдасып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мен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бір-біріне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шеңберінен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шықпауы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Құпиялы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тылсым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дүниенің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сырын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бірлесіп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кезінде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бір-бірін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бағалап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қорғай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білгендері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қуаныш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сыйлайды</w:t>
      </w:r>
      <w:proofErr w:type="spellEnd"/>
      <w:r w:rsidRPr="0003086C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8D50248" w14:textId="77777777" w:rsidR="00C451ED" w:rsidRPr="0003086C" w:rsidRDefault="00C451ED" w:rsidP="000308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1ED" w:rsidRPr="0003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06891"/>
    <w:multiLevelType w:val="multilevel"/>
    <w:tmpl w:val="C56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5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ED"/>
    <w:rsid w:val="0003086C"/>
    <w:rsid w:val="00812002"/>
    <w:rsid w:val="00C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CAC8-3FB0-49D5-800B-21F3BC37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5450</Words>
  <Characters>31065</Characters>
  <Application>Microsoft Office Word</Application>
  <DocSecurity>0</DocSecurity>
  <Lines>258</Lines>
  <Paragraphs>72</Paragraphs>
  <ScaleCrop>false</ScaleCrop>
  <Company/>
  <LinksUpToDate>false</LinksUpToDate>
  <CharactersWithSpaces>36443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3</cp:revision>
  <dcterms:created xsi:type="dcterms:W3CDTF">2023-12-15T10:20:00Z</dcterms:created>
  <dcterms:modified xsi:type="dcterms:W3CDTF">2024-01-08T08:28:00Z</dcterms:modified>
</cp:coreProperties>
</file>